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jc w:val="both"/>
        <w:rPr>
          <w:rFonts w:ascii="Poppins" w:cs="Poppins" w:eastAsia="Poppins" w:hAnsi="Poppins"/>
          <w:b w:val="1"/>
          <w:bCs w:val="1"/>
          <w:sz w:val="34"/>
          <w:szCs w:val="34"/>
        </w:rPr>
      </w:pPr>
      <w:bookmarkStart w:colFirst="0" w:colLast="0" w:name="_6j7uq1nrobcv" w:id="0"/>
      <w:bookmarkEnd w:id="0"/>
      <w:r w:rsidDel="00000000" w:rsidR="00000000" w:rsidRPr="00000000">
        <w:rPr>
          <w:rFonts w:ascii="Poppins" w:cs="Poppins" w:eastAsia="Poppins" w:hAnsi="Poppins"/>
          <w:b w:val="1"/>
          <w:bCs w:val="1"/>
          <w:sz w:val="34"/>
          <w:szCs w:val="34"/>
        </w:rPr>
        <w:drawing>
          <wp:inline distB="114300" distT="114300" distL="114300" distR="114300">
            <wp:extent cx="5657850" cy="4914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13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91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Rule="auto"/>
        <w:jc w:val="both"/>
        <w:rPr>
          <w:rFonts w:ascii="Poppins" w:cs="Poppins" w:eastAsia="Poppins" w:hAnsi="Poppins"/>
          <w:b w:val="1"/>
          <w:bCs w:val="1"/>
          <w:sz w:val="34"/>
          <w:szCs w:val="34"/>
        </w:rPr>
      </w:pPr>
      <w:bookmarkStart w:colFirst="0" w:colLast="0" w:name="_d8pj6pqkii3e" w:id="1"/>
      <w:bookmarkEnd w:id="1"/>
      <w:r w:rsidDel="00000000" w:rsidR="00000000" w:rsidRPr="00000000">
        <w:rPr>
          <w:rFonts w:ascii="Poppins" w:cs="Poppins" w:eastAsia="Poppins" w:hAnsi="Poppins"/>
          <w:b w:val="1"/>
          <w:bCs w:val="1"/>
          <w:sz w:val="34"/>
          <w:szCs w:val="34"/>
          <w:rtl w:val="0"/>
        </w:rPr>
        <w:t xml:space="preserve">Diagram Funds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DIAGRAM IRQ Funds a.s., podfond Real Estate Alfa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je fond kvalifikovaných investorů zaměřený na dlouhodobé zhodnocování kapitálu v segmentu nemovitostí. Fond vznikl v roce 2020 jako institucionální platforma pro externí investiční kapitál a umožňuje investorům společně participovat na developerských projektech s dlouhodobým investičním horizontem. Diagram Funds propojuje investory se stejnými cíli a přístupem k riziku a nabízí možnost podílet se jak na růstu hodnoty nemovitostí, tak na výnosech z jejich budoucího prodeje či dlouhodobého pronájmu.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Fond si vybírá projekty podle přísných investičních kritérií a do portfolia zařazuje jak vlastní developerské projekty, tak projekty realizované ve spolupráci s prověřenými partnery. Struktura fondu umožňuje financovat projekty napříč jejich životním cyklem, od developmentu až po následný prodej nebo dlouhodobý asset management. Partnerství s fondem je doplněno vlastním kapitálem skupiny, což zvyšuje stabilitu financování a sladění zájmů všech zúčastněných stran.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lineRule="auto"/>
        <w:jc w:val="both"/>
        <w:rPr>
          <w:rFonts w:ascii="Poppins" w:cs="Poppins" w:eastAsia="Poppins" w:hAnsi="Poppins"/>
          <w:b w:val="1"/>
          <w:bCs w:val="1"/>
          <w:sz w:val="26"/>
          <w:szCs w:val="26"/>
        </w:rPr>
      </w:pPr>
      <w:bookmarkStart w:colFirst="0" w:colLast="0" w:name="_1s7azurubvpa" w:id="2"/>
      <w:bookmarkEnd w:id="2"/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Diagram Funds v číslech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00" w:before="240" w:lineRule="auto"/>
        <w:ind w:left="72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Rok založení: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00" w:lineRule="auto"/>
        <w:ind w:left="72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NAV fondu: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cca. 375 milionů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00" w:lineRule="auto"/>
        <w:ind w:left="72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Výnos fondu: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30,09 %  (třída A za rok 2025)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00" w:lineRule="auto"/>
        <w:ind w:left="72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Cílový výnos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: 12-14 %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00" w:lineRule="auto"/>
        <w:ind w:left="720" w:hanging="360"/>
        <w:jc w:val="both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Růst za 2025: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30,09 % (nabízená třída A)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00" w:lineRule="auto"/>
        <w:ind w:left="720" w:hanging="360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Celková hodnota fondu: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1,1 miliardy korun (toto je celková očekávaná prodejní hodnota projektů fondu)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00" w:lineRule="auto"/>
        <w:ind w:left="720" w:hanging="360"/>
        <w:jc w:val="both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Poměr úvěru k hodnotě majetku: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0 %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Portfolio Diagram Funds zahrnuje </w:t>
      </w:r>
      <w:hyperlink r:id="rId7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projekty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Realism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Šeberov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-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Rezidenční developerský projekt řadových rodinných domů v Praze 11 Šeberov, situovaný v atraktivní lokalitě historického jádra obce s výhledem na revitalizovaný rybník. Projekt zahrnuje 19 novostaveb s vlastními zahradami a parkováním.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Realism  Modrava -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Rekreační developerský projekt v centrální části obce Modrava v Národním parku Šumava. Projekt zahrnuje výstavbu 4 rekreačních domů s celkem 58 ubytovacími jednotkami a doplňkovými komerčními prostory pro ubytovací provoz.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Fond DIAGRAM IRQ Funds a.s.,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podfond Real Estate Alfa je součástí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investiční skupiny Diagram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která funguje jako dlouhodobá platforma pro budování a rozvoj firem. Diagram byl založen v roce 2013 a staví na silné realitní expertíze, kterou postupně rozšířil i do dalších oborů. Skupina vystupuje jako spolehlivý partner, který projekty spoluvytváří, rozvíjí a dlouhodobě spravuje. Skupina si do fondu vybírá projekty podle přísných kritérií a do portfolia tak mohou zařazovat developerské projekty ve spolupráci s Realismem i dalšími developery. 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Realism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je developerská platforma zaměřená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na rezidenční nemovitosti, taktéž spadající do skupiny Diagram. Realism, založený v roce 2014, pokrývá celý životní cyklus projektů od akvizice pozemků a návrhu architektury přes výstavbu až po prodej nebo dlouhodobý asset management. Realism úspěšně realizoval téměř dvacet </w:t>
      </w:r>
      <w:hyperlink r:id="rId8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developerských projektů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 a připravili téměř 2500 bytových jednotek. Dokončených nebo ve výstavbě je téměř 700 bytů. Skupina Realism má za sebou realizaci projektů Barrandovská zahrada, Truhlárna, Milhouse, Sakura a Bleriot. Další rezidenční projekty, mimo jiné Barrandez-vous, dokončila formou prodeje v různých fázích rozpracovanosti.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Součástí skupiny Diagram je i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Rodeo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které bylo založeno v roce 2023 a rozšiřuje aktivity skupiny do oblasti energetiky a infrastruktury. Rodeo se soustředí na projekty spojené s výrobou a řízením energií, optimalizací spotřeby a efektivitou provozu.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Do portfolia skupiny patří od roku 2023 také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Nadotec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značka zaměřená na vývoj a výrobu textilních produktů. Nadotec vychází z kombinace tradiční výroby a moderních materiálových technologií. Cílí na produkty, které kladou důraz na komfort, funkčnost a kvalitu zpracování.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spacing w:after="80" w:lineRule="auto"/>
        <w:jc w:val="both"/>
        <w:rPr>
          <w:rFonts w:ascii="Poppins" w:cs="Poppins" w:eastAsia="Poppins" w:hAnsi="Poppins"/>
          <w:b w:val="1"/>
          <w:bCs w:val="1"/>
          <w:sz w:val="26"/>
          <w:szCs w:val="26"/>
        </w:rPr>
      </w:pPr>
      <w:bookmarkStart w:colFirst="0" w:colLast="0" w:name="_dphlwsdqx8gm" w:id="3"/>
      <w:bookmarkEnd w:id="3"/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Více informací o skupině Diagram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200" w:before="240" w:lineRule="auto"/>
        <w:ind w:left="720" w:hanging="360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Weby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: </w:t>
      </w:r>
      <w:hyperlink r:id="rId9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https://www.diagramfund.cz</w:t>
        </w:r>
      </w:hyperlink>
      <w:r w:rsidDel="00000000" w:rsidR="00000000" w:rsidRPr="00000000">
        <w:rPr>
          <w:rtl w:val="0"/>
        </w:rPr>
        <w:t xml:space="preserve">, </w:t>
      </w:r>
      <w:hyperlink r:id="rId10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www.diagram.cz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, </w:t>
      </w:r>
      <w:hyperlink r:id="rId11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www.rodeonrg.com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, </w:t>
      </w:r>
      <w:hyperlink r:id="rId12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www.nadotec.cz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200" w:before="0" w:lineRule="auto"/>
        <w:ind w:left="720" w:hanging="360"/>
        <w:jc w:val="both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Sociální sítě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: </w:t>
      </w:r>
      <w:hyperlink r:id="rId13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LinkedIn</w:t>
        </w:r>
      </w:hyperlink>
      <w:r w:rsidDel="00000000" w:rsidR="00000000" w:rsidRPr="00000000">
        <w:rPr>
          <w:rtl w:val="0"/>
        </w:rPr>
        <w:t xml:space="preserve">, </w:t>
      </w:r>
      <w:hyperlink r:id="rId14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LinkedIn CEO Martina Hubingera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80" w:lineRule="auto"/>
        <w:jc w:val="both"/>
        <w:rPr>
          <w:rFonts w:ascii="Source Sans 3" w:cs="Source Sans 3" w:eastAsia="Source Sans 3" w:hAnsi="Source Sans 3"/>
          <w:b w:val="1"/>
          <w:bCs w:val="1"/>
          <w:sz w:val="34"/>
          <w:szCs w:val="34"/>
        </w:rPr>
      </w:pPr>
      <w:bookmarkStart w:colFirst="0" w:colLast="0" w:name="_4mezuz9jme0n" w:id="4"/>
      <w:bookmarkEnd w:id="4"/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4"/>
          <w:szCs w:val="34"/>
          <w:rtl w:val="0"/>
        </w:rPr>
        <w:t xml:space="preserve">Vedení společnosti</w:t>
      </w:r>
    </w:p>
    <w:p w:rsidR="00000000" w:rsidDel="00000000" w:rsidP="00000000" w:rsidRDefault="00000000" w:rsidRPr="00000000" w14:paraId="00000019">
      <w:pPr>
        <w:spacing w:after="200" w:before="0" w:lineRule="auto"/>
        <w:jc w:val="both"/>
        <w:rPr>
          <w:rFonts w:ascii="Poppins" w:cs="Poppins" w:eastAsia="Poppins" w:hAnsi="Poppins"/>
          <w:b w:val="1"/>
          <w:b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Mgr. Martin Hubinger</w:t>
      </w:r>
    </w:p>
    <w:p w:rsidR="00000000" w:rsidDel="00000000" w:rsidP="00000000" w:rsidRDefault="00000000" w:rsidRPr="00000000" w14:paraId="0000001A">
      <w:pPr>
        <w:spacing w:after="200" w:before="0" w:lineRule="auto"/>
        <w:jc w:val="both"/>
        <w:rPr>
          <w:rFonts w:ascii="Poppins" w:cs="Poppins" w:eastAsia="Poppins" w:hAnsi="Poppins"/>
          <w:b w:val="1"/>
          <w:bCs w:val="1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Zakladatel a člen dozorčí rady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3159450</wp:posOffset>
            </wp:positionH>
            <wp:positionV relativeFrom="paragraph">
              <wp:posOffset>114300</wp:posOffset>
            </wp:positionV>
            <wp:extent cx="2567214" cy="2362655"/>
            <wp:effectExtent b="0" l="0" r="0" t="0"/>
            <wp:wrapSquare wrapText="bothSides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7214" cy="236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Martin Hubinger je zkušený investor, podnikatel a developer s více než dvacetiletou praxí v oblasti nemovitostních investic, private equity a strukturování kapitálově náročných projektů. Ve své profesní kariéře se od roku 2012 podílí na přípravě, financování a realizaci developerských a investičních projektů napříč realitním, energetickým i výrobním sektorem. </w:t>
      </w:r>
    </w:p>
    <w:p w:rsidR="00000000" w:rsidDel="00000000" w:rsidP="00000000" w:rsidRDefault="00000000" w:rsidRPr="00000000" w14:paraId="0000001C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Dlouhodobě se zaměřuje na identifikaci investičních příležitostí s udržitelným růstovým potenciálem, efektivní správu aktiv a řízení rizik v jednotlivých fázích projektu. V Diagram Funds uplatňuje své zkušenosti s developmentem, investičními strukturami a správou nemovitostních portfolií. Podílí se na strategickém směřování fondu a dohledu nad tím, aby portfolio dlouhodobě vytvářelo stabilní výnos a hodnotu pro investory.</w:t>
      </w:r>
    </w:p>
    <w:p w:rsidR="00000000" w:rsidDel="00000000" w:rsidP="00000000" w:rsidRDefault="00000000" w:rsidRPr="00000000" w14:paraId="0000001D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Martin Hubinger je absolventem Právnické fakulty Univerzity Karlovy v Praze (2002–2007) a Policejní akademie České republiky (1998–2001). Již během studií začal působit v českých pobočkách renomovaných londýnských advokátních kanceláří, advokátní praxi dále rozvíjel v pražské pobočce newyorské kanceláře White &amp; Case. V letech 2008–2013 působil na Ministerstvu zahraničních věcí ČR. Vedle investičních aktivit se v letech 2017–2018 podílel na činnosti správní rady Vaclav Havel Center v New Yorku.</w:t>
      </w:r>
    </w:p>
    <w:p w:rsidR="00000000" w:rsidDel="00000000" w:rsidP="00000000" w:rsidRDefault="00000000" w:rsidRPr="00000000" w14:paraId="0000001E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before="240" w:lineRule="auto"/>
        <w:ind w:lef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before="240" w:lineRule="auto"/>
        <w:ind w:left="0" w:firstLine="0"/>
        <w:jc w:val="both"/>
        <w:rPr>
          <w:rFonts w:ascii="Poppins" w:cs="Poppins" w:eastAsia="Poppins" w:hAnsi="Poppins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Rule="auto"/>
        <w:jc w:val="both"/>
        <w:rPr>
          <w:rFonts w:ascii="Poppins" w:cs="Poppins" w:eastAsia="Poppins" w:hAnsi="Poppins"/>
          <w:b w:val="1"/>
          <w:b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doc. Ing. Zdeněk Tůma, CSc.</w:t>
      </w:r>
    </w:p>
    <w:p w:rsidR="00000000" w:rsidDel="00000000" w:rsidP="00000000" w:rsidRDefault="00000000" w:rsidRPr="00000000" w14:paraId="00000024">
      <w:pPr>
        <w:spacing w:after="200" w:lineRule="auto"/>
        <w:jc w:val="both"/>
        <w:rPr>
          <w:rFonts w:ascii="Poppins" w:cs="Poppins" w:eastAsia="Poppins" w:hAnsi="Poppins"/>
          <w:b w:val="1"/>
          <w:bCs w:val="1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Zakladatel a předseda dozorčí rady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3045150</wp:posOffset>
            </wp:positionH>
            <wp:positionV relativeFrom="paragraph">
              <wp:posOffset>38100</wp:posOffset>
            </wp:positionV>
            <wp:extent cx="2681288" cy="2213281"/>
            <wp:effectExtent b="0" l="0" r="0" t="0"/>
            <wp:wrapSquare wrapText="bothSides" distB="19050" distT="19050" distL="19050" distR="1905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9452" r="975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2132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spacing w:after="20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Zdeněk Tůma je přední český ekonom, bankéř a odborník na makroekonomickou politiku s více než třicetiletou profesionální kariérou ve veřejném i soukromém sektoru. Ve své praxi se zaměřoval na vedení monetární politiky, bankovní regulaci, finanční trhy a řízení systémových rizik. Jako guvernér České národní banky v letech 2000–2010 stál v čele měnové politiky České republiky, reprezentoval zemi v Mezinárodním měnovém fondu i v Bance pro mezinárodní platby a podílel se na řízení vstupu České republiky do Evropské unie a Evropského systému centrálních bank. </w:t>
      </w:r>
    </w:p>
    <w:p w:rsidR="00000000" w:rsidDel="00000000" w:rsidP="00000000" w:rsidRDefault="00000000" w:rsidRPr="00000000" w14:paraId="00000026">
      <w:pPr>
        <w:spacing w:after="20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Po odchodu z ČNB působil v privátním sektoru, kde mezi lety 2011–2019 vedl služby pro finanční sektor v KPMG Česká republika. Od roku 2019 je předsedou dozorčí rady ČSOB, a.s., kde uplatňuje své zkušenosti s řízením bankovních institucí a strategickým rozvojem finančních služeb. Dříve byl také předsedou finančního výboru Zastupitelstva hlavního města Prahy (2011–2012) a zastupitelem města (2010–2014).</w:t>
      </w:r>
    </w:p>
    <w:p w:rsidR="00000000" w:rsidDel="00000000" w:rsidP="00000000" w:rsidRDefault="00000000" w:rsidRPr="00000000" w14:paraId="00000027">
      <w:pPr>
        <w:spacing w:after="20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Ve své kariéře se věnoval i akademickému vzdělávání, působí jako lektor na více českých univerzitách a je členem vědeckých a správních rad vzdělávacích institucí. Vedle své hlavní profesní dráhy se angažoval v neziskových organizacích zaměřených na ekonomické vzdělávání, podporu výzkumu a rozvoj mladých talentů.</w:t>
      </w:r>
    </w:p>
    <w:p w:rsidR="00000000" w:rsidDel="00000000" w:rsidP="00000000" w:rsidRDefault="00000000" w:rsidRPr="00000000" w14:paraId="00000028">
      <w:pPr>
        <w:spacing w:after="20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Do Diagram Funds přináší silnou expertizu v oblasti řízení rizik, institucionální správy a dlouhodobé finanční stability, které jsou klíčové pro ochranu kapitálu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investorů a udržitelný růst hodnoty portfolia.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Rule="auto"/>
        <w:jc w:val="both"/>
        <w:rPr>
          <w:rFonts w:ascii="Poppins" w:cs="Poppins" w:eastAsia="Poppins" w:hAnsi="Poppins"/>
          <w:b w:val="1"/>
          <w:b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Kontakt pro média</w:t>
      </w:r>
    </w:p>
    <w:p w:rsidR="00000000" w:rsidDel="00000000" w:rsidP="00000000" w:rsidRDefault="00000000" w:rsidRPr="00000000" w14:paraId="0000002B">
      <w:pPr>
        <w:spacing w:after="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Filip Thein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Account Executive, Topic PR              </w:t>
      </w:r>
    </w:p>
    <w:p w:rsidR="00000000" w:rsidDel="00000000" w:rsidP="00000000" w:rsidRDefault="00000000" w:rsidRPr="00000000" w14:paraId="0000002D">
      <w:pPr>
        <w:spacing w:after="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E: fthein@topicpr.cz  </w:t>
      </w:r>
    </w:p>
    <w:p w:rsidR="00000000" w:rsidDel="00000000" w:rsidP="00000000" w:rsidRDefault="00000000" w:rsidRPr="00000000" w14:paraId="0000002E">
      <w:pPr>
        <w:spacing w:after="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M: +420 775 996 482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rodeonrg.com" TargetMode="External"/><Relationship Id="rId10" Type="http://schemas.openxmlformats.org/officeDocument/2006/relationships/hyperlink" Target="http://www.diagram.cz" TargetMode="External"/><Relationship Id="rId13" Type="http://schemas.openxmlformats.org/officeDocument/2006/relationships/hyperlink" Target="https://www.linkedin.com/company/diagram-cz/" TargetMode="External"/><Relationship Id="rId12" Type="http://schemas.openxmlformats.org/officeDocument/2006/relationships/hyperlink" Target="http://www.nadotec.cz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iagramfund.cz/portfolio" TargetMode="External"/><Relationship Id="rId15" Type="http://schemas.openxmlformats.org/officeDocument/2006/relationships/image" Target="media/image3.png"/><Relationship Id="rId14" Type="http://schemas.openxmlformats.org/officeDocument/2006/relationships/hyperlink" Target="https://www.linkedin.com/in/martin-hubinger-0201581b9/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diagramfund.cz/portfolio" TargetMode="External"/><Relationship Id="rId8" Type="http://schemas.openxmlformats.org/officeDocument/2006/relationships/hyperlink" Target="https://www.realism.cz/projekty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